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F8A" w:rsidRDefault="00371F8A">
      <w:pPr>
        <w:tabs>
          <w:tab w:val="center" w:pos="4153"/>
          <w:tab w:val="right" w:pos="8306"/>
        </w:tabs>
        <w:spacing w:after="0" w:line="240" w:lineRule="auto"/>
        <w:rPr>
          <w:rFonts w:ascii="Times New Roman" w:eastAsia="Times New Roman" w:hAnsi="Times New Roman" w:cs="Times New Roman"/>
          <w:sz w:val="24"/>
        </w:rPr>
      </w:pPr>
    </w:p>
    <w:p w:rsidR="00371F8A" w:rsidRDefault="00371F8A">
      <w:pPr>
        <w:spacing w:after="0" w:line="240" w:lineRule="auto"/>
        <w:rPr>
          <w:rFonts w:ascii="Times New Roman" w:eastAsia="Times New Roman" w:hAnsi="Times New Roman" w:cs="Times New Roman"/>
          <w:b/>
          <w:sz w:val="24"/>
        </w:rPr>
      </w:pPr>
    </w:p>
    <w:p w:rsidR="00371F8A" w:rsidRDefault="00371F8A">
      <w:pPr>
        <w:spacing w:after="0" w:line="240" w:lineRule="auto"/>
        <w:rPr>
          <w:rFonts w:ascii="Times New Roman" w:eastAsia="Times New Roman" w:hAnsi="Times New Roman" w:cs="Times New Roman"/>
          <w:b/>
          <w:sz w:val="24"/>
        </w:rPr>
      </w:pPr>
    </w:p>
    <w:p w:rsidR="00371F8A" w:rsidRDefault="00532564">
      <w:pPr>
        <w:spacing w:after="0" w:line="240" w:lineRule="auto"/>
        <w:jc w:val="center"/>
        <w:rPr>
          <w:rFonts w:ascii="Times New Roman" w:eastAsia="Times New Roman" w:hAnsi="Times New Roman" w:cs="Times New Roman"/>
          <w:sz w:val="24"/>
        </w:rPr>
      </w:pPr>
      <w:r>
        <w:object w:dxaOrig="820" w:dyaOrig="777">
          <v:rect id="rectole0000000000" o:spid="_x0000_i1025" style="width:41.25pt;height:39pt" o:ole="" o:preferrelative="t" stroked="f">
            <v:imagedata r:id="rId4" o:title=""/>
          </v:rect>
          <o:OLEObject Type="Embed" ProgID="StaticMetafile" ShapeID="rectole0000000000" DrawAspect="Content" ObjectID="_1645883139" r:id="rId5"/>
        </w:object>
      </w:r>
    </w:p>
    <w:p w:rsidR="00371F8A" w:rsidRDefault="00371F8A">
      <w:pPr>
        <w:spacing w:after="0" w:line="240" w:lineRule="auto"/>
        <w:rPr>
          <w:rFonts w:ascii="Times New Roman" w:eastAsia="Times New Roman" w:hAnsi="Times New Roman" w:cs="Times New Roman"/>
          <w:sz w:val="10"/>
        </w:rPr>
      </w:pPr>
    </w:p>
    <w:p w:rsidR="00371F8A" w:rsidRDefault="00532564">
      <w:pPr>
        <w:keepNext/>
        <w:spacing w:after="0" w:line="240" w:lineRule="auto"/>
        <w:jc w:val="center"/>
        <w:rPr>
          <w:rFonts w:ascii="Arial" w:eastAsia="Arial" w:hAnsi="Arial" w:cs="Arial"/>
          <w:caps/>
          <w:sz w:val="36"/>
        </w:rPr>
      </w:pPr>
      <w:r>
        <w:rPr>
          <w:rFonts w:ascii="Arial" w:eastAsia="Arial" w:hAnsi="Arial" w:cs="Arial"/>
          <w:caps/>
          <w:sz w:val="36"/>
        </w:rPr>
        <w:t>Lietuvos Respublikos Vyriausybė</w:t>
      </w:r>
    </w:p>
    <w:p w:rsidR="00371F8A" w:rsidRDefault="00371F8A">
      <w:pPr>
        <w:spacing w:after="0" w:line="240" w:lineRule="auto"/>
        <w:jc w:val="center"/>
        <w:rPr>
          <w:rFonts w:ascii="Times New Roman" w:eastAsia="Times New Roman" w:hAnsi="Times New Roman" w:cs="Times New Roman"/>
          <w:caps/>
          <w:sz w:val="24"/>
        </w:rPr>
      </w:pPr>
    </w:p>
    <w:p w:rsidR="00371F8A" w:rsidRDefault="00532564">
      <w:pPr>
        <w:spacing w:after="0" w:line="240"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nutarimas</w:t>
      </w:r>
    </w:p>
    <w:p w:rsidR="00371F8A" w:rsidRDefault="0053256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aps/>
          <w:sz w:val="24"/>
        </w:rPr>
        <w:t>DĖL karantino lietuvos respublikoS TERITORIJOJE PASKELBIMO</w:t>
      </w:r>
    </w:p>
    <w:p w:rsidR="00371F8A" w:rsidRDefault="00371F8A">
      <w:pPr>
        <w:tabs>
          <w:tab w:val="center" w:pos="4153"/>
          <w:tab w:val="right" w:pos="8306"/>
        </w:tabs>
        <w:spacing w:after="0" w:line="240" w:lineRule="auto"/>
        <w:rPr>
          <w:rFonts w:ascii="Times New Roman" w:eastAsia="Times New Roman" w:hAnsi="Times New Roman" w:cs="Times New Roman"/>
          <w:sz w:val="24"/>
        </w:rPr>
      </w:pPr>
    </w:p>
    <w:p w:rsidR="00371F8A" w:rsidRDefault="0053256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2020 </w:t>
      </w:r>
      <w:bookmarkStart w:id="0" w:name="_GoBack"/>
      <w:bookmarkEnd w:id="0"/>
      <w:r>
        <w:rPr>
          <w:rFonts w:ascii="Times New Roman" w:eastAsia="Times New Roman" w:hAnsi="Times New Roman" w:cs="Times New Roman"/>
          <w:sz w:val="24"/>
        </w:rPr>
        <w:t>kovo 14 d. Nr. 207</w:t>
      </w:r>
    </w:p>
    <w:p w:rsidR="00371F8A" w:rsidRDefault="0053256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Vilnius</w:t>
      </w:r>
    </w:p>
    <w:p w:rsidR="00371F8A" w:rsidRDefault="00371F8A">
      <w:pPr>
        <w:spacing w:after="0" w:line="240" w:lineRule="auto"/>
        <w:jc w:val="center"/>
        <w:rPr>
          <w:rFonts w:ascii="Times New Roman" w:eastAsia="Times New Roman" w:hAnsi="Times New Roman" w:cs="Times New Roman"/>
          <w:sz w:val="24"/>
        </w:rPr>
      </w:pPr>
    </w:p>
    <w:p w:rsidR="00371F8A" w:rsidRDefault="00532564">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Vadovaudamasi Lietuvos Respublikos žmoni</w:t>
      </w:r>
      <w:r>
        <w:rPr>
          <w:rFonts w:ascii="Times New Roman" w:eastAsia="Times New Roman" w:hAnsi="Times New Roman" w:cs="Times New Roman"/>
          <w:sz w:val="24"/>
        </w:rPr>
        <w:t>ų užkrečiamųjų ligų profilaktikos ir kontrolės įstatymo 21 straipsnio 3 dalies 1 punktu, Lietuvos Respublikos civilinės saugos įstatymo 21 straipsnio 2 dalies 1 punktu, atsižvelgdama į nepalankią epideminę COVID-19 (</w:t>
      </w:r>
      <w:proofErr w:type="spellStart"/>
      <w:r>
        <w:rPr>
          <w:rFonts w:ascii="Times New Roman" w:eastAsia="Times New Roman" w:hAnsi="Times New Roman" w:cs="Times New Roman"/>
          <w:sz w:val="24"/>
        </w:rPr>
        <w:t>koronavirusinės</w:t>
      </w:r>
      <w:proofErr w:type="spellEnd"/>
      <w:r>
        <w:rPr>
          <w:rFonts w:ascii="Times New Roman" w:eastAsia="Times New Roman" w:hAnsi="Times New Roman" w:cs="Times New Roman"/>
          <w:sz w:val="24"/>
        </w:rPr>
        <w:t xml:space="preserve"> infekcijos) situaciją ir</w:t>
      </w:r>
      <w:r>
        <w:rPr>
          <w:rFonts w:ascii="Times New Roman" w:eastAsia="Times New Roman" w:hAnsi="Times New Roman" w:cs="Times New Roman"/>
          <w:sz w:val="24"/>
        </w:rPr>
        <w:t xml:space="preserve"> sveikatos apsaugos ministro teikimą, taip pat į Lietuvos Respublikos Vyriausybės ekstremalių situacijų komisijos 2020 m. kovo 14 d. pasiūlymą, Lietuvos Respublikos Vyriausybė</w:t>
      </w:r>
      <w:r>
        <w:rPr>
          <w:rFonts w:ascii="Times New Roman" w:eastAsia="Times New Roman" w:hAnsi="Times New Roman" w:cs="Times New Roman"/>
          <w:spacing w:val="100"/>
          <w:sz w:val="24"/>
        </w:rPr>
        <w:t xml:space="preserve"> nutari</w:t>
      </w:r>
      <w:r>
        <w:rPr>
          <w:rFonts w:ascii="Times New Roman" w:eastAsia="Times New Roman" w:hAnsi="Times New Roman" w:cs="Times New Roman"/>
          <w:sz w:val="24"/>
        </w:rPr>
        <w:t>a:</w:t>
      </w:r>
    </w:p>
    <w:p w:rsidR="00371F8A" w:rsidRDefault="00532564">
      <w:pPr>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1. Paskelbti tre</w:t>
      </w:r>
      <w:r>
        <w:rPr>
          <w:rFonts w:ascii="Times New Roman" w:eastAsia="Times New Roman" w:hAnsi="Times New Roman" w:cs="Times New Roman"/>
          <w:sz w:val="24"/>
        </w:rPr>
        <w:t>čią (visiškos parengties) civilinės saugos sistemos parengties lygį.</w:t>
      </w:r>
    </w:p>
    <w:p w:rsidR="00371F8A" w:rsidRDefault="00532564">
      <w:pPr>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2. Paskelbti visoje Lietuvos Respublikos teritorijoje karantiną.</w:t>
      </w:r>
    </w:p>
    <w:p w:rsidR="00371F8A" w:rsidRDefault="00532564">
      <w:pPr>
        <w:tabs>
          <w:tab w:val="left" w:pos="1418"/>
        </w:tabs>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3. Patvirtinti šį karantino režimą:</w:t>
      </w:r>
    </w:p>
    <w:p w:rsidR="00371F8A" w:rsidRDefault="00532564">
      <w:pPr>
        <w:tabs>
          <w:tab w:val="left" w:pos="1418"/>
        </w:tabs>
        <w:spacing w:after="0" w:line="36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3.1. Dėl judėjimo per sieną ir šalies viduje:</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3.1.1. Uždrausti užsieniečiams atvykti į Lietuvos Respubliką, išskyrus </w:t>
      </w:r>
      <w:r>
        <w:rPr>
          <w:rFonts w:ascii="Times New Roman" w:eastAsia="Times New Roman" w:hAnsi="Times New Roman" w:cs="Times New Roman"/>
          <w:color w:val="000000"/>
          <w:sz w:val="24"/>
        </w:rPr>
        <w:t>vairuotojus ir įgulų narius</w:t>
      </w:r>
      <w:r>
        <w:rPr>
          <w:rFonts w:ascii="Times New Roman" w:eastAsia="Times New Roman" w:hAnsi="Times New Roman" w:cs="Times New Roman"/>
          <w:sz w:val="24"/>
        </w:rPr>
        <w:t>, kai vykdomas komercinis ir (ar) tarptautinis krovinių vežimas</w:t>
      </w:r>
      <w:r>
        <w:rPr>
          <w:rFonts w:ascii="Times New Roman" w:eastAsia="Times New Roman" w:hAnsi="Times New Roman" w:cs="Times New Roman"/>
          <w:color w:val="000000"/>
          <w:sz w:val="24"/>
        </w:rPr>
        <w:t>, asmenis, turinčius teisę gyventi Lietuvos Respublikoje, asmenis, turinčius imunitetų ir privi</w:t>
      </w:r>
      <w:r>
        <w:rPr>
          <w:rFonts w:ascii="Times New Roman" w:eastAsia="Times New Roman" w:hAnsi="Times New Roman" w:cs="Times New Roman"/>
          <w:color w:val="000000"/>
          <w:sz w:val="24"/>
        </w:rPr>
        <w:t xml:space="preserve">legijų pagal 1961 m. Vienos konvenciją dėl diplomatinių santykių ir 1963 m. Vienos konvenciją dėl konsulinių santykių, ir NATO bei  NATO šalių kariniuose vienetuose tarnaujančius asmenis ir juos aptarnaujantį personalą bei jų šeimos narius. </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3.1.2. Sienos </w:t>
      </w:r>
      <w:r>
        <w:rPr>
          <w:rFonts w:ascii="Times New Roman" w:eastAsia="Times New Roman" w:hAnsi="Times New Roman" w:cs="Times New Roman"/>
          <w:sz w:val="24"/>
        </w:rPr>
        <w:t>kirtimas vykdomas per šiuos tarptautinius sienos kirtimo punktus: Kalvarijos–</w:t>
      </w:r>
      <w:proofErr w:type="spellStart"/>
      <w:r>
        <w:rPr>
          <w:rFonts w:ascii="Times New Roman" w:eastAsia="Times New Roman" w:hAnsi="Times New Roman" w:cs="Times New Roman"/>
          <w:sz w:val="24"/>
        </w:rPr>
        <w:t>Budzisko</w:t>
      </w:r>
      <w:proofErr w:type="spellEnd"/>
      <w:r>
        <w:rPr>
          <w:rFonts w:ascii="Times New Roman" w:eastAsia="Times New Roman" w:hAnsi="Times New Roman" w:cs="Times New Roman"/>
          <w:sz w:val="24"/>
        </w:rPr>
        <w:t>, Saločių–</w:t>
      </w:r>
      <w:proofErr w:type="spellStart"/>
      <w:r>
        <w:rPr>
          <w:rFonts w:ascii="Times New Roman" w:eastAsia="Times New Roman" w:hAnsi="Times New Roman" w:cs="Times New Roman"/>
          <w:sz w:val="24"/>
        </w:rPr>
        <w:t>Grenstalės</w:t>
      </w:r>
      <w:proofErr w:type="spellEnd"/>
      <w:r>
        <w:rPr>
          <w:rFonts w:ascii="Times New Roman" w:eastAsia="Times New Roman" w:hAnsi="Times New Roman" w:cs="Times New Roman"/>
          <w:sz w:val="24"/>
        </w:rPr>
        <w:t>, Būtingės–Rucavos, Smėlynės–</w:t>
      </w:r>
      <w:proofErr w:type="spellStart"/>
      <w:r>
        <w:rPr>
          <w:rFonts w:ascii="Times New Roman" w:eastAsia="Times New Roman" w:hAnsi="Times New Roman" w:cs="Times New Roman"/>
          <w:sz w:val="24"/>
        </w:rPr>
        <w:t>Medumės</w:t>
      </w:r>
      <w:proofErr w:type="spellEnd"/>
      <w:r>
        <w:rPr>
          <w:rFonts w:ascii="Times New Roman" w:eastAsia="Times New Roman" w:hAnsi="Times New Roman" w:cs="Times New Roman"/>
          <w:sz w:val="24"/>
        </w:rPr>
        <w:t>, Medininkų–</w:t>
      </w:r>
      <w:proofErr w:type="spellStart"/>
      <w:r>
        <w:rPr>
          <w:rFonts w:ascii="Times New Roman" w:eastAsia="Times New Roman" w:hAnsi="Times New Roman" w:cs="Times New Roman"/>
          <w:sz w:val="24"/>
        </w:rPr>
        <w:t>Kamenyj</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Logo</w:t>
      </w:r>
      <w:proofErr w:type="spellEnd"/>
      <w:r>
        <w:rPr>
          <w:rFonts w:ascii="Times New Roman" w:eastAsia="Times New Roman" w:hAnsi="Times New Roman" w:cs="Times New Roman"/>
          <w:sz w:val="24"/>
        </w:rPr>
        <w:t>, Raigardo–</w:t>
      </w:r>
      <w:proofErr w:type="spellStart"/>
      <w:r>
        <w:rPr>
          <w:rFonts w:ascii="Times New Roman" w:eastAsia="Times New Roman" w:hAnsi="Times New Roman" w:cs="Times New Roman"/>
          <w:sz w:val="24"/>
        </w:rPr>
        <w:t>Privalkos</w:t>
      </w:r>
      <w:proofErr w:type="spellEnd"/>
      <w:r>
        <w:rPr>
          <w:rFonts w:ascii="Times New Roman" w:eastAsia="Times New Roman" w:hAnsi="Times New Roman" w:cs="Times New Roman"/>
          <w:sz w:val="24"/>
        </w:rPr>
        <w:t>, Kybartų–</w:t>
      </w:r>
      <w:proofErr w:type="spellStart"/>
      <w:r>
        <w:rPr>
          <w:rFonts w:ascii="Times New Roman" w:eastAsia="Times New Roman" w:hAnsi="Times New Roman" w:cs="Times New Roman"/>
          <w:sz w:val="24"/>
        </w:rPr>
        <w:t>Černyševskojės</w:t>
      </w:r>
      <w:proofErr w:type="spellEnd"/>
      <w:r>
        <w:rPr>
          <w:rFonts w:ascii="Times New Roman" w:eastAsia="Times New Roman" w:hAnsi="Times New Roman" w:cs="Times New Roman"/>
          <w:sz w:val="24"/>
        </w:rPr>
        <w:t>, Panemunės–Sovetsko, Vilniaus, Kauno, Palangos</w:t>
      </w:r>
      <w:r>
        <w:rPr>
          <w:rFonts w:ascii="Times New Roman" w:eastAsia="Times New Roman" w:hAnsi="Times New Roman" w:cs="Times New Roman"/>
          <w:sz w:val="24"/>
        </w:rPr>
        <w:t>, Šiaulių oro uostus ir Klaipėdos valstybinį jūrų uostą.</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3.1.3. Iki 2020 m. kovo 19 d. 00:00 val. leidžiamas asmenų, grįžtančių į savo gyvenamosios vietos valstybę, tranzitas per Lietuvos Respublikos teritoriją be būtinojo sustojimo.</w:t>
      </w:r>
    </w:p>
    <w:p w:rsidR="00371F8A" w:rsidRDefault="00532564">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3.1.4. Uždrausti Lietu</w:t>
      </w:r>
      <w:r>
        <w:rPr>
          <w:rFonts w:ascii="Times New Roman" w:eastAsia="Times New Roman" w:hAnsi="Times New Roman" w:cs="Times New Roman"/>
          <w:sz w:val="24"/>
        </w:rPr>
        <w:t xml:space="preserve">vos Respublikos piliečiams išvykti iš Lietuvos Respublikos, išskyrus atvejus, kai jie grįžta į savo gyvenamąją vietą, vyksta į savo darbo vietą, taip pat Valstybės sienos </w:t>
      </w:r>
      <w:r>
        <w:rPr>
          <w:rFonts w:ascii="Times New Roman" w:eastAsia="Times New Roman" w:hAnsi="Times New Roman" w:cs="Times New Roman"/>
          <w:sz w:val="24"/>
        </w:rPr>
        <w:lastRenderedPageBreak/>
        <w:t xml:space="preserve">apsaugos tarnybos prie Lietuvos Respublikos vidaus reikalų ministerijos vadovo ar jo </w:t>
      </w:r>
      <w:r>
        <w:rPr>
          <w:rFonts w:ascii="Times New Roman" w:eastAsia="Times New Roman" w:hAnsi="Times New Roman" w:cs="Times New Roman"/>
          <w:sz w:val="24"/>
        </w:rPr>
        <w:t>įgalioto asmens leidimu.</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3.1.5. Asmenims, grįžusiems iš užsienio valstybių, privaloma 14 dienų izoliacija. </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3.1.6. Ribojamas keliaujančiųjų tarpmiestinio ir priemiestinio reguliaraus susisiekimo keleivinio transporto maršrutais intensyvumas – leidžiama uži</w:t>
      </w:r>
      <w:r>
        <w:rPr>
          <w:rFonts w:ascii="Times New Roman" w:eastAsia="Times New Roman" w:hAnsi="Times New Roman" w:cs="Times New Roman"/>
          <w:sz w:val="24"/>
        </w:rPr>
        <w:t>mti tik sėdimas vietas ne mažesniu kaip 1 metro atstumu. Turi būti taikomos ypatingos saugos priemonės – transporto priemonės dezinfekuojamos kiekvieno maršruto pradinėje ir galinėje stotelėse. Šią nuostatą rekomenduojama taikyti ir vykdant keleivių vežimą</w:t>
      </w:r>
      <w:r>
        <w:rPr>
          <w:rFonts w:ascii="Times New Roman" w:eastAsia="Times New Roman" w:hAnsi="Times New Roman" w:cs="Times New Roman"/>
          <w:sz w:val="24"/>
        </w:rPr>
        <w:t xml:space="preserve"> viešuoju miesto transportu.</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3.1.7. Draudžiamas kruizinių laivų patekimas į Klaipėdos valstybinį jūrų uostą.</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3.1.8. Prekių judėjimas neribojamas.</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3.2. Dėl viešojo ir privataus sektoriaus veiklos:</w:t>
      </w:r>
      <w:r>
        <w:rPr>
          <w:rFonts w:ascii="Times New Roman" w:eastAsia="Times New Roman" w:hAnsi="Times New Roman" w:cs="Times New Roman"/>
          <w:color w:val="FF0000"/>
          <w:sz w:val="24"/>
        </w:rPr>
        <w:t xml:space="preserve"> </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3.2.1. Valstybės ir savivaldybių institucijose, įstaigose, </w:t>
      </w:r>
      <w:r>
        <w:rPr>
          <w:rFonts w:ascii="Times New Roman" w:eastAsia="Times New Roman" w:hAnsi="Times New Roman" w:cs="Times New Roman"/>
          <w:sz w:val="24"/>
        </w:rPr>
        <w:t>valstybės ir savivaldybių valdomose įmonėse darbas organizuojamas ir klientai aptarnaujami nuotoliniu būdu, išskyrus atvejus, kai būtina atitinkamas funkcijas atlikti darbo vietoje. Privaloma užtikrinti būtinųjų neatidėliotinų funkcijų atlikimą. Privačiaja</w:t>
      </w:r>
      <w:r>
        <w:rPr>
          <w:rFonts w:ascii="Times New Roman" w:eastAsia="Times New Roman" w:hAnsi="Times New Roman" w:cs="Times New Roman"/>
          <w:sz w:val="24"/>
        </w:rPr>
        <w:t xml:space="preserve">m sektoriui rekomenduojama dirbti tokia pat darbo organizavimo forma kaip ir viešajame sektoriuje. </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3.2.2. Draudžiamas kultūros, laisvalaikio, pramogų, sporto įstaigų lankymas ir fizinis lankytojų aptarnavimas.  </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3.2.3. Draudžiami visi atvirose ir uždarose</w:t>
      </w:r>
      <w:r>
        <w:rPr>
          <w:rFonts w:ascii="Times New Roman" w:eastAsia="Times New Roman" w:hAnsi="Times New Roman" w:cs="Times New Roman"/>
          <w:sz w:val="24"/>
        </w:rPr>
        <w:t xml:space="preserve"> erdvėse organizuojami renginiai bei susibūrimai.</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3.2.4. Draudžiama sveikatinimo paslaug</w:t>
      </w:r>
      <w:r>
        <w:rPr>
          <w:rFonts w:ascii="Times New Roman" w:eastAsia="Times New Roman" w:hAnsi="Times New Roman" w:cs="Times New Roman"/>
          <w:sz w:val="24"/>
        </w:rPr>
        <w:t xml:space="preserve">ų centrų, sanatorijų, poilsio centrų veikla, išskyrus </w:t>
      </w:r>
      <w:proofErr w:type="spellStart"/>
      <w:r>
        <w:rPr>
          <w:rFonts w:ascii="Times New Roman" w:eastAsia="Times New Roman" w:hAnsi="Times New Roman" w:cs="Times New Roman"/>
          <w:sz w:val="24"/>
        </w:rPr>
        <w:t>indvidualias</w:t>
      </w:r>
      <w:proofErr w:type="spellEnd"/>
      <w:r>
        <w:rPr>
          <w:rFonts w:ascii="Times New Roman" w:eastAsia="Times New Roman" w:hAnsi="Times New Roman" w:cs="Times New Roman"/>
          <w:sz w:val="24"/>
        </w:rPr>
        <w:t xml:space="preserve"> reabilitacijos paslaugas, kurios susijusios su gydymu.</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3.2.5. Viešbučių ir kitos patalpos naudojamos  asmenims izoliuoti atskiru savivaldybių ir apgyvendinimo paslaugų teikėjų susitarimu ar</w:t>
      </w:r>
      <w:r>
        <w:rPr>
          <w:rFonts w:ascii="Times New Roman" w:eastAsia="Times New Roman" w:hAnsi="Times New Roman" w:cs="Times New Roman"/>
          <w:sz w:val="24"/>
        </w:rPr>
        <w:t>ba savivaldybės administracijos direktoriaus reikalavimu.</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3.2.6. Draudžiama viešojo maitinimo įstaigų, restoranų, kavinių, barų, naktinių klubų ir kitų pasilinksminimo vietų veikla, išskyrus, kai maistą galima išsinešti arba kitais būdais jį pristatyti gyv</w:t>
      </w:r>
      <w:r>
        <w:rPr>
          <w:rFonts w:ascii="Times New Roman" w:eastAsia="Times New Roman" w:hAnsi="Times New Roman" w:cs="Times New Roman"/>
          <w:sz w:val="24"/>
        </w:rPr>
        <w:t>entojams.</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3.2.7. Draudžiama parduotuvių, prekybos ir (arba) pramogų centrų, išskyrus maisto, veterinarijos, vaistinių ir optikos prekių pardavimą, veikla, taip pat turgaviečių, išskyrus maisto, veikla. Šis draudimas netaikomas internetinei prekybai ir kai </w:t>
      </w:r>
      <w:r>
        <w:rPr>
          <w:rFonts w:ascii="Times New Roman" w:eastAsia="Times New Roman" w:hAnsi="Times New Roman" w:cs="Times New Roman"/>
          <w:sz w:val="24"/>
        </w:rPr>
        <w:t>prekės pristatomos gyventojams.</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3.2.8. Draudžiama teikti grožio paslaugas.</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3.2.9. Draudžiama lošimo namų (kazino) ir lošimo automatų salonų veikla.</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3.2.10. Draudžiamas nuteistųjų ir suimtųjų lankymas, išskyrus jų susitikimus su gynėjais.</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3.2.11. Rekomenduo</w:t>
      </w:r>
      <w:r>
        <w:rPr>
          <w:rFonts w:ascii="Times New Roman" w:eastAsia="Times New Roman" w:hAnsi="Times New Roman" w:cs="Times New Roman"/>
          <w:sz w:val="24"/>
        </w:rPr>
        <w:t>jama atsiskaityti ne grynaisiais pinigais.</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3.3. Dėl švietimo įstaigų darbo organizavimo.</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Stabdomi ugdymo ir vaikų priežiūros procesas bei švietimo veikla visose švietimo įstaigose, dienos ir užimtumo centruose, organizuojant ugdymo procesą nuotoliniu būdu.</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3.4. Dėl sveikatos priežiūros įstaigų darbo organizavimo:</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3.4.1. Sveikatos prieži</w:t>
      </w:r>
      <w:r>
        <w:rPr>
          <w:rFonts w:ascii="Times New Roman" w:eastAsia="Times New Roman" w:hAnsi="Times New Roman" w:cs="Times New Roman"/>
          <w:sz w:val="24"/>
        </w:rPr>
        <w:t xml:space="preserve">ūros specialistų, aukštųjų universitetinių ir neuniversitetinių mokyklų studentų, rezidentų ir infrastruktūros pasitelkimas, nesvarbu, koks jų pavaldumas. </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3.4.2. Stacionarinių asmens sveikatos priežiūros paslaugų teikimas:</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3.4.2.1. Veiklos perorganizavima</w:t>
      </w:r>
      <w:r>
        <w:rPr>
          <w:rFonts w:ascii="Times New Roman" w:eastAsia="Times New Roman" w:hAnsi="Times New Roman" w:cs="Times New Roman"/>
          <w:sz w:val="24"/>
        </w:rPr>
        <w:t>s valdant pacientų srautus, infrastruktūrą ir materialiuosius bei žmogiškuosius išteklius.</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3.4.2.2. Planinių operacijų atidėjimas, išskyrus pagalbą ir sveikatos priežiūros paslaugas, kurių nesuteikus pacientui atsirastų būtinosios medicinos pagalbos poreik</w:t>
      </w:r>
      <w:r>
        <w:rPr>
          <w:rFonts w:ascii="Times New Roman" w:eastAsia="Times New Roman" w:hAnsi="Times New Roman" w:cs="Times New Roman"/>
          <w:sz w:val="24"/>
        </w:rPr>
        <w:t>is arba labai pablogėtų jo būklė.</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3.4.2.3. Planinių hospitalizacijų dėl kitų diagnostinių ir gydomųjų paslaugų atidėjimas.</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3.4.2.4. Pacientų lankymo draudimas, išskyrus terminalinės būklės pacientų ir vaikų iki 14 metų lankymą gydančio gydytojo leidimu. </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.4.2.5. Medicininės reabilitacijos paslaugų teikimo ribojimas, išskyrus tuos atvejus, kurių nesuteikimas lemtų paciento neįgalumą.</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3.4.3. Ambulatorinių asmens sveikatos priežiūros paslaugų teikimas:</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3.4.3.1. Paslaugų teikimas nuotoliniu būdu: vaistų ir med</w:t>
      </w:r>
      <w:r>
        <w:rPr>
          <w:rFonts w:ascii="Times New Roman" w:eastAsia="Times New Roman" w:hAnsi="Times New Roman" w:cs="Times New Roman"/>
          <w:sz w:val="24"/>
        </w:rPr>
        <w:t>icinos pagalbos priemonių išrašymas, konsultacijos, elektroninių nedarbingumo pažymėjimų išdavimas ir tęsimas, gydytojų tarpusavio konsultacijos, būtinųjų tyrimų paskyrimas, slaugytojo konsultacijos.</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3.4.3.2. Planinių konsultacijų, diagnostinių, profilakti</w:t>
      </w:r>
      <w:r>
        <w:rPr>
          <w:rFonts w:ascii="Times New Roman" w:eastAsia="Times New Roman" w:hAnsi="Times New Roman" w:cs="Times New Roman"/>
          <w:sz w:val="24"/>
        </w:rPr>
        <w:t xml:space="preserve">nių ir gydomųjų paslaugų atidėjimas, išskyrus pagalbą ir paslaugas, kurių nesuteikus pacientui atsirastų poreikis </w:t>
      </w:r>
      <w:proofErr w:type="spellStart"/>
      <w:r>
        <w:rPr>
          <w:rFonts w:ascii="Times New Roman" w:eastAsia="Times New Roman" w:hAnsi="Times New Roman" w:cs="Times New Roman"/>
          <w:sz w:val="24"/>
        </w:rPr>
        <w:t>būtinąjai</w:t>
      </w:r>
      <w:proofErr w:type="spellEnd"/>
      <w:r>
        <w:rPr>
          <w:rFonts w:ascii="Times New Roman" w:eastAsia="Times New Roman" w:hAnsi="Times New Roman" w:cs="Times New Roman"/>
          <w:sz w:val="24"/>
        </w:rPr>
        <w:t xml:space="preserve"> medicinos pagalbai arba reikšmingai pablogėtų paciento būklė.</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3.4.3.3. Paslaugų namuose teikimo ribojimas, išskyrus ambulatorinės sl</w:t>
      </w:r>
      <w:r>
        <w:rPr>
          <w:rFonts w:ascii="Times New Roman" w:eastAsia="Times New Roman" w:hAnsi="Times New Roman" w:cs="Times New Roman"/>
          <w:sz w:val="24"/>
        </w:rPr>
        <w:t xml:space="preserve">augos ir </w:t>
      </w:r>
      <w:proofErr w:type="spellStart"/>
      <w:r>
        <w:rPr>
          <w:rFonts w:ascii="Times New Roman" w:eastAsia="Times New Roman" w:hAnsi="Times New Roman" w:cs="Times New Roman"/>
          <w:sz w:val="24"/>
        </w:rPr>
        <w:t>paliatyvios</w:t>
      </w:r>
      <w:proofErr w:type="spellEnd"/>
      <w:r>
        <w:rPr>
          <w:rFonts w:ascii="Times New Roman" w:eastAsia="Times New Roman" w:hAnsi="Times New Roman" w:cs="Times New Roman"/>
          <w:sz w:val="24"/>
        </w:rPr>
        <w:t xml:space="preserve"> pagalbos paslaugas namuose.</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3.4.3.4. Ambulatorinių medicininės reabilitacijos paslaugų teikimo atidėjimas.</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3.4.3.5. Profilaktinių patikrinimų ir prevencinių programų vykdymo atidėjimas.</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3.4.3.6. Planinių skiepijimų perorganizavimas, nu</w:t>
      </w:r>
      <w:r>
        <w:rPr>
          <w:rFonts w:ascii="Times New Roman" w:eastAsia="Times New Roman" w:hAnsi="Times New Roman" w:cs="Times New Roman"/>
          <w:sz w:val="24"/>
        </w:rPr>
        <w:t>matant pacientų srautų valdymą.</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3.4.4. Odontologijos paslaugų teikimo atidėjimas, išskyrus būtinosios medicinos pagalbos užtikrinimą.</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3.4.5. Vaistinių veiklos perorganizavimas, siekiant išvengti tiesioginio asmenų kontakto.</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3.4.6. Visuomenės sveikata:</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3.4.</w:t>
      </w:r>
      <w:r>
        <w:rPr>
          <w:rFonts w:ascii="Times New Roman" w:eastAsia="Times New Roman" w:hAnsi="Times New Roman" w:cs="Times New Roman"/>
          <w:sz w:val="24"/>
        </w:rPr>
        <w:t xml:space="preserve">6.1. Visuomenės sveikatos stiprinimo, lėtinių neinfekcinių ligų prevencijos priemonių atidėjimas. </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3.4.6.2. Visuomenės sveikatos saugos kontrolės planinių patikrinimų atidėjimas.</w:t>
      </w:r>
    </w:p>
    <w:p w:rsidR="00371F8A" w:rsidRDefault="00532564">
      <w:pPr>
        <w:tabs>
          <w:tab w:val="left" w:pos="1418"/>
          <w:tab w:val="left" w:pos="15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3.4.6.3. Kitų nebūtinų visuomenės sveikatos priemonių atidėjimas.</w:t>
      </w:r>
    </w:p>
    <w:p w:rsidR="00371F8A" w:rsidRDefault="00532564">
      <w:pPr>
        <w:tabs>
          <w:tab w:val="left" w:pos="1418"/>
        </w:tabs>
        <w:spacing w:after="0" w:line="36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3.5. </w:t>
      </w:r>
      <w:r>
        <w:rPr>
          <w:rFonts w:ascii="Times New Roman" w:eastAsia="Times New Roman" w:hAnsi="Times New Roman" w:cs="Times New Roman"/>
          <w:b/>
        </w:rPr>
        <w:t>Dėl s</w:t>
      </w:r>
      <w:r>
        <w:rPr>
          <w:rFonts w:ascii="Times New Roman" w:eastAsia="Times New Roman" w:hAnsi="Times New Roman" w:cs="Times New Roman"/>
          <w:b/>
          <w:sz w:val="24"/>
        </w:rPr>
        <w:t>ocialines paslaugas teikiančių įstaigų darbo organizavimo:</w:t>
      </w:r>
    </w:p>
    <w:p w:rsidR="00371F8A" w:rsidRDefault="00532564">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3.5.1. Draudžiamas lankymas visose stacionariose socialinių paslaugų įstaigose, šeimynose, grupinio ir bendruomeninio gyvenimo namuose.</w:t>
      </w:r>
    </w:p>
    <w:p w:rsidR="00371F8A" w:rsidRDefault="00532564">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3.5.2. Kitose socialini</w:t>
      </w:r>
      <w:r>
        <w:rPr>
          <w:rFonts w:ascii="Times New Roman" w:eastAsia="Times New Roman" w:hAnsi="Times New Roman" w:cs="Times New Roman"/>
          <w:sz w:val="24"/>
        </w:rPr>
        <w:t>ų paslaugų įstaigose kontaktuoti su klientu leidžiama tik užtikrinant būtinąsias socialines paslaugas.</w:t>
      </w:r>
    </w:p>
    <w:p w:rsidR="00371F8A" w:rsidRDefault="00532564">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3.5.3. Draudžiama veikla vaikų, žmonių su negalia ir pagyvenusių žmonių dienos ir užimtumo centruose. Savivaldybių administracijos privalo užtikrinti vai</w:t>
      </w:r>
      <w:r>
        <w:rPr>
          <w:rFonts w:ascii="Times New Roman" w:eastAsia="Times New Roman" w:hAnsi="Times New Roman" w:cs="Times New Roman"/>
          <w:sz w:val="24"/>
        </w:rPr>
        <w:t>kų ir žmonių su negalia priežiūrą išimtiniais atvejais įstaigose, jeigu tokia priežiūra neįmanoma namuose.</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4. Pavesti valstybės lygio ekstremaliosios situacijos operacijų vadovui, gavus atsakingos ministerijos siūlymą dėl būtinų karantino priemonių nustaty</w:t>
      </w:r>
      <w:r>
        <w:rPr>
          <w:rFonts w:ascii="Times New Roman" w:eastAsia="Times New Roman" w:hAnsi="Times New Roman" w:cs="Times New Roman"/>
          <w:sz w:val="24"/>
        </w:rPr>
        <w:t>mo, nustatyti konkrečias karantino režimo priemones.</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5. Rekomenduoti visoms Lietuvoje veikiančioms religinėms bendruomenėms neorganizuoti religinių apeigų, kad būtų išvengta viešų susibūrimų.</w:t>
      </w:r>
    </w:p>
    <w:p w:rsidR="00371F8A" w:rsidRDefault="00532564">
      <w:pPr>
        <w:tabs>
          <w:tab w:val="left" w:pos="1418"/>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6. Karantino režimo trukmė – nuo 2020 m. kovo 16 d. 00 val. iki </w:t>
      </w:r>
      <w:r>
        <w:rPr>
          <w:rFonts w:ascii="Times New Roman" w:eastAsia="Times New Roman" w:hAnsi="Times New Roman" w:cs="Times New Roman"/>
          <w:sz w:val="24"/>
        </w:rPr>
        <w:t xml:space="preserve">kovo 30 d. 24 val. </w:t>
      </w:r>
    </w:p>
    <w:p w:rsidR="00371F8A" w:rsidRDefault="00371F8A">
      <w:pPr>
        <w:tabs>
          <w:tab w:val="left" w:pos="1418"/>
        </w:tabs>
        <w:spacing w:after="0" w:line="240" w:lineRule="auto"/>
        <w:ind w:firstLine="720"/>
        <w:jc w:val="both"/>
        <w:rPr>
          <w:rFonts w:ascii="Times New Roman" w:eastAsia="Times New Roman" w:hAnsi="Times New Roman" w:cs="Times New Roman"/>
          <w:sz w:val="24"/>
        </w:rPr>
      </w:pPr>
    </w:p>
    <w:p w:rsidR="00371F8A" w:rsidRDefault="00371F8A">
      <w:pPr>
        <w:tabs>
          <w:tab w:val="left" w:pos="1418"/>
        </w:tabs>
        <w:spacing w:after="0" w:line="240" w:lineRule="auto"/>
        <w:ind w:firstLine="720"/>
        <w:jc w:val="both"/>
        <w:rPr>
          <w:rFonts w:ascii="Times New Roman" w:eastAsia="Times New Roman" w:hAnsi="Times New Roman" w:cs="Times New Roman"/>
          <w:sz w:val="24"/>
        </w:rPr>
      </w:pPr>
    </w:p>
    <w:p w:rsidR="00371F8A" w:rsidRDefault="00371F8A">
      <w:pPr>
        <w:tabs>
          <w:tab w:val="left" w:pos="1418"/>
        </w:tabs>
        <w:spacing w:after="0" w:line="240" w:lineRule="auto"/>
        <w:ind w:firstLine="720"/>
        <w:jc w:val="both"/>
        <w:rPr>
          <w:rFonts w:ascii="Times New Roman" w:eastAsia="Times New Roman" w:hAnsi="Times New Roman" w:cs="Times New Roman"/>
          <w:sz w:val="24"/>
        </w:rPr>
      </w:pPr>
    </w:p>
    <w:p w:rsidR="00371F8A" w:rsidRDefault="00532564">
      <w:pPr>
        <w:tabs>
          <w:tab w:val="center" w:pos="-7800"/>
          <w:tab w:val="left" w:pos="6237"/>
          <w:tab w:val="right" w:pos="830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Ministras Pirmininkas</w:t>
      </w:r>
      <w:r>
        <w:rPr>
          <w:rFonts w:ascii="Times New Roman" w:eastAsia="Times New Roman" w:hAnsi="Times New Roman" w:cs="Times New Roman"/>
          <w:sz w:val="24"/>
        </w:rPr>
        <w:tab/>
        <w:t xml:space="preserve">Saulius </w:t>
      </w:r>
      <w:proofErr w:type="spellStart"/>
      <w:r>
        <w:rPr>
          <w:rFonts w:ascii="Times New Roman" w:eastAsia="Times New Roman" w:hAnsi="Times New Roman" w:cs="Times New Roman"/>
          <w:sz w:val="24"/>
        </w:rPr>
        <w:t>Skvernelis</w:t>
      </w:r>
      <w:proofErr w:type="spellEnd"/>
    </w:p>
    <w:p w:rsidR="00371F8A" w:rsidRDefault="00371F8A">
      <w:pPr>
        <w:tabs>
          <w:tab w:val="center" w:pos="-7800"/>
          <w:tab w:val="left" w:pos="6237"/>
          <w:tab w:val="right" w:pos="8306"/>
        </w:tabs>
        <w:spacing w:after="0" w:line="240" w:lineRule="auto"/>
        <w:rPr>
          <w:rFonts w:ascii="Times New Roman" w:eastAsia="Times New Roman" w:hAnsi="Times New Roman" w:cs="Times New Roman"/>
          <w:sz w:val="24"/>
        </w:rPr>
      </w:pPr>
    </w:p>
    <w:p w:rsidR="00371F8A" w:rsidRDefault="00371F8A">
      <w:pPr>
        <w:tabs>
          <w:tab w:val="center" w:pos="-7800"/>
          <w:tab w:val="left" w:pos="6237"/>
          <w:tab w:val="right" w:pos="8306"/>
        </w:tabs>
        <w:spacing w:after="0" w:line="240" w:lineRule="auto"/>
        <w:rPr>
          <w:rFonts w:ascii="Times New Roman" w:eastAsia="Times New Roman" w:hAnsi="Times New Roman" w:cs="Times New Roman"/>
          <w:sz w:val="24"/>
        </w:rPr>
      </w:pPr>
    </w:p>
    <w:p w:rsidR="00371F8A" w:rsidRDefault="00371F8A">
      <w:pPr>
        <w:tabs>
          <w:tab w:val="center" w:pos="-7800"/>
          <w:tab w:val="left" w:pos="6237"/>
          <w:tab w:val="right" w:pos="8306"/>
        </w:tabs>
        <w:spacing w:after="0" w:line="240" w:lineRule="auto"/>
        <w:rPr>
          <w:rFonts w:ascii="Times New Roman" w:eastAsia="Times New Roman" w:hAnsi="Times New Roman" w:cs="Times New Roman"/>
          <w:sz w:val="24"/>
        </w:rPr>
      </w:pPr>
    </w:p>
    <w:p w:rsidR="00371F8A" w:rsidRDefault="00532564">
      <w:pPr>
        <w:tabs>
          <w:tab w:val="center" w:pos="-7800"/>
          <w:tab w:val="left" w:pos="6237"/>
          <w:tab w:val="right" w:pos="830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Sveikatos apsaugos ministras </w:t>
      </w:r>
      <w:r>
        <w:rPr>
          <w:rFonts w:ascii="Times New Roman" w:eastAsia="Times New Roman" w:hAnsi="Times New Roman" w:cs="Times New Roman"/>
          <w:sz w:val="24"/>
        </w:rPr>
        <w:tab/>
        <w:t xml:space="preserve">Aurelijus </w:t>
      </w:r>
      <w:proofErr w:type="spellStart"/>
      <w:r>
        <w:rPr>
          <w:rFonts w:ascii="Times New Roman" w:eastAsia="Times New Roman" w:hAnsi="Times New Roman" w:cs="Times New Roman"/>
          <w:sz w:val="24"/>
        </w:rPr>
        <w:t>Veryga</w:t>
      </w:r>
      <w:proofErr w:type="spellEnd"/>
    </w:p>
    <w:sectPr w:rsidR="00371F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8A"/>
    <w:rsid w:val="00371F8A"/>
    <w:rsid w:val="00532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2B169-44F6-4EF5-B466-849B45D0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5282</Words>
  <Characters>3011</Characters>
  <Application>Microsoft Office Word</Application>
  <DocSecurity>0</DocSecurity>
  <Lines>25</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Salciute</dc:creator>
  <cp:lastModifiedBy>Kristina Salciute</cp:lastModifiedBy>
  <cp:revision>2</cp:revision>
  <dcterms:created xsi:type="dcterms:W3CDTF">2020-03-16T14:59:00Z</dcterms:created>
  <dcterms:modified xsi:type="dcterms:W3CDTF">2020-03-16T14:59:00Z</dcterms:modified>
</cp:coreProperties>
</file>